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5" w:line="222" w:lineRule="auto"/>
        <w:jc w:val="both"/>
        <w:outlineLvl w:val="0"/>
        <w:rPr>
          <w:rFonts w:ascii="宋体" w:hAnsi="宋体" w:eastAsia="宋体" w:cs="宋体"/>
          <w:sz w:val="43"/>
          <w:szCs w:val="43"/>
        </w:rPr>
      </w:pPr>
      <w:r>
        <w:rPr>
          <w:rFonts w:ascii="Times New Roman" w:hAnsi="Times New Roman" w:eastAsia="Times New Roman" w:cs="Times New Roman"/>
          <w:spacing w:val="8"/>
          <w:sz w:val="43"/>
          <w:szCs w:val="43"/>
        </w:rPr>
        <w:t>2022</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line="243" w:lineRule="auto"/>
        <w:jc w:val="center"/>
        <w:rPr>
          <w:rFonts w:hint="default" w:ascii="Arial" w:eastAsia="宋体"/>
          <w:sz w:val="21"/>
          <w:lang w:val="en-US" w:eastAsia="zh-CN"/>
        </w:rPr>
      </w:pPr>
      <w:r>
        <w:rPr>
          <w:rFonts w:hint="eastAsia" w:ascii="宋体" w:hAnsi="宋体" w:eastAsia="宋体" w:cs="宋体"/>
          <w:spacing w:val="7"/>
          <w:sz w:val="43"/>
          <w:szCs w:val="43"/>
          <w:lang w:val="en-US" w:eastAsia="zh-CN"/>
          <w14:textOutline w14:w="6350" w14:cap="flat" w14:cmpd="sng">
            <w14:solidFill>
              <w14:srgbClr w14:val="000000"/>
            </w14:solidFill>
            <w14:prstDash w14:val="solid"/>
            <w14:miter w14:val="0"/>
          </w14:textOutline>
        </w:rPr>
        <w:t>实施方案</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tabs>
          <w:tab w:val="left" w:pos="7815"/>
        </w:tabs>
        <w:spacing w:before="91" w:line="423" w:lineRule="auto"/>
        <w:ind w:left="1026" w:right="832"/>
        <w:jc w:val="both"/>
        <w:rPr>
          <w:sz w:val="28"/>
          <w:szCs w:val="28"/>
        </w:rPr>
      </w:pPr>
      <w:r>
        <w:rPr>
          <w:spacing w:val="-17"/>
          <w:sz w:val="28"/>
          <w:szCs w:val="28"/>
        </w:rPr>
        <w:t>项</w:t>
      </w:r>
      <w:r>
        <w:rPr>
          <w:spacing w:val="9"/>
          <w:sz w:val="28"/>
          <w:szCs w:val="28"/>
        </w:rPr>
        <w:t xml:space="preserve">  </w:t>
      </w:r>
      <w:r>
        <w:rPr>
          <w:spacing w:val="-17"/>
          <w:sz w:val="28"/>
          <w:szCs w:val="28"/>
        </w:rPr>
        <w:t>目   名</w:t>
      </w:r>
      <w:r>
        <w:rPr>
          <w:spacing w:val="60"/>
          <w:sz w:val="28"/>
          <w:szCs w:val="28"/>
        </w:rPr>
        <w:t xml:space="preserve"> </w:t>
      </w:r>
      <w:r>
        <w:rPr>
          <w:spacing w:val="-17"/>
          <w:sz w:val="28"/>
          <w:szCs w:val="28"/>
        </w:rPr>
        <w:t>称</w:t>
      </w:r>
      <w:r>
        <w:rPr>
          <w:spacing w:val="77"/>
          <w:sz w:val="28"/>
          <w:szCs w:val="28"/>
        </w:rPr>
        <w:t xml:space="preserve"> </w:t>
      </w:r>
      <w:r>
        <w:rPr>
          <w:rFonts w:hint="eastAsia"/>
          <w:spacing w:val="77"/>
          <w:sz w:val="28"/>
          <w:szCs w:val="28"/>
          <w:u w:val="single"/>
          <w:lang w:val="en-US" w:eastAsia="zh-CN"/>
        </w:rPr>
        <w:t xml:space="preserve"> </w:t>
      </w:r>
      <w:r>
        <w:rPr>
          <w:rFonts w:hint="eastAsia"/>
          <w:spacing w:val="77"/>
          <w:sz w:val="28"/>
          <w:szCs w:val="28"/>
          <w:u w:val="single" w:color="auto"/>
          <w:lang w:val="en-US" w:eastAsia="zh-CN"/>
        </w:rPr>
        <w:t xml:space="preserve">楚怡高水平专业群  </w:t>
      </w:r>
      <w:r>
        <w:rPr>
          <w:sz w:val="28"/>
          <w:szCs w:val="28"/>
        </w:rPr>
        <w:t xml:space="preserve"> </w:t>
      </w:r>
    </w:p>
    <w:p>
      <w:pPr>
        <w:pStyle w:val="3"/>
        <w:tabs>
          <w:tab w:val="left" w:pos="7815"/>
        </w:tabs>
        <w:spacing w:before="91" w:line="423" w:lineRule="auto"/>
        <w:ind w:left="1026" w:right="832"/>
        <w:jc w:val="both"/>
        <w:rPr>
          <w:sz w:val="28"/>
          <w:szCs w:val="28"/>
          <w:u w:val="single" w:color="auto"/>
        </w:rPr>
      </w:pPr>
      <w:r>
        <w:rPr>
          <w:spacing w:val="-10"/>
          <w:sz w:val="28"/>
          <w:szCs w:val="28"/>
        </w:rPr>
        <w:t>立</w:t>
      </w:r>
      <w:r>
        <w:rPr>
          <w:spacing w:val="61"/>
          <w:sz w:val="28"/>
          <w:szCs w:val="28"/>
        </w:rPr>
        <w:t xml:space="preserve"> </w:t>
      </w:r>
      <w:r>
        <w:rPr>
          <w:spacing w:val="-10"/>
          <w:sz w:val="28"/>
          <w:szCs w:val="28"/>
        </w:rPr>
        <w:t>项   年</w:t>
      </w:r>
      <w:r>
        <w:rPr>
          <w:spacing w:val="58"/>
          <w:sz w:val="28"/>
          <w:szCs w:val="28"/>
        </w:rPr>
        <w:t xml:space="preserve"> </w:t>
      </w:r>
      <w:r>
        <w:rPr>
          <w:spacing w:val="-10"/>
          <w:sz w:val="28"/>
          <w:szCs w:val="28"/>
        </w:rPr>
        <w:t>度</w:t>
      </w:r>
      <w:r>
        <w:rPr>
          <w:spacing w:val="77"/>
          <w:sz w:val="28"/>
          <w:szCs w:val="28"/>
        </w:rPr>
        <w:t xml:space="preserve"> </w:t>
      </w:r>
      <w:r>
        <w:rPr>
          <w:rFonts w:hint="eastAsia"/>
          <w:spacing w:val="77"/>
          <w:sz w:val="28"/>
          <w:szCs w:val="28"/>
          <w:u w:val="single"/>
          <w:lang w:val="en-US" w:eastAsia="zh-CN"/>
        </w:rPr>
        <w:t xml:space="preserve">      2022年</w:t>
      </w:r>
      <w:r>
        <w:rPr>
          <w:sz w:val="28"/>
          <w:szCs w:val="28"/>
          <w:u w:val="single" w:color="auto"/>
        </w:rPr>
        <w:tab/>
      </w:r>
      <w:r>
        <w:rPr>
          <w:sz w:val="28"/>
          <w:szCs w:val="28"/>
        </w:rPr>
        <w:t xml:space="preserve"> </w:t>
      </w:r>
      <w:r>
        <w:rPr>
          <w:spacing w:val="3"/>
          <w:sz w:val="28"/>
          <w:szCs w:val="28"/>
        </w:rPr>
        <w:t>项目学校（盖章）</w:t>
      </w:r>
      <w:r>
        <w:rPr>
          <w:spacing w:val="81"/>
          <w:sz w:val="28"/>
          <w:szCs w:val="28"/>
        </w:rPr>
        <w:t xml:space="preserve"> </w:t>
      </w:r>
      <w:r>
        <w:rPr>
          <w:rFonts w:hint="eastAsia"/>
          <w:spacing w:val="81"/>
          <w:sz w:val="28"/>
          <w:szCs w:val="28"/>
          <w:u w:val="single"/>
          <w:lang w:val="en-US" w:eastAsia="zh-CN"/>
        </w:rPr>
        <w:t xml:space="preserve">    湖南护理学校</w:t>
      </w:r>
      <w:r>
        <w:rPr>
          <w:sz w:val="28"/>
          <w:szCs w:val="28"/>
          <w:u w:val="single" w:color="auto"/>
        </w:rPr>
        <w:tab/>
      </w:r>
      <w:r>
        <w:rPr>
          <w:sz w:val="28"/>
          <w:szCs w:val="28"/>
        </w:rPr>
        <w:t xml:space="preserve"> </w:t>
      </w:r>
      <w:r>
        <w:rPr>
          <w:spacing w:val="-26"/>
          <w:sz w:val="28"/>
          <w:szCs w:val="28"/>
        </w:rPr>
        <w:t>项</w:t>
      </w:r>
      <w:r>
        <w:rPr>
          <w:spacing w:val="1"/>
          <w:sz w:val="28"/>
          <w:szCs w:val="28"/>
        </w:rPr>
        <w:t xml:space="preserve">  </w:t>
      </w:r>
      <w:r>
        <w:rPr>
          <w:spacing w:val="-26"/>
          <w:sz w:val="28"/>
          <w:szCs w:val="28"/>
        </w:rPr>
        <w:t>目</w:t>
      </w:r>
      <w:r>
        <w:rPr>
          <w:spacing w:val="105"/>
          <w:sz w:val="28"/>
          <w:szCs w:val="28"/>
        </w:rPr>
        <w:t xml:space="preserve"> </w:t>
      </w:r>
      <w:r>
        <w:rPr>
          <w:spacing w:val="-26"/>
          <w:sz w:val="28"/>
          <w:szCs w:val="28"/>
        </w:rPr>
        <w:t>负</w:t>
      </w:r>
      <w:r>
        <w:rPr>
          <w:spacing w:val="101"/>
          <w:sz w:val="28"/>
          <w:szCs w:val="28"/>
        </w:rPr>
        <w:t xml:space="preserve"> </w:t>
      </w:r>
      <w:r>
        <w:rPr>
          <w:spacing w:val="-26"/>
          <w:sz w:val="28"/>
          <w:szCs w:val="28"/>
        </w:rPr>
        <w:t>责</w:t>
      </w:r>
      <w:r>
        <w:rPr>
          <w:spacing w:val="91"/>
          <w:sz w:val="28"/>
          <w:szCs w:val="28"/>
        </w:rPr>
        <w:t xml:space="preserve"> </w:t>
      </w:r>
      <w:r>
        <w:rPr>
          <w:spacing w:val="-26"/>
          <w:sz w:val="28"/>
          <w:szCs w:val="28"/>
        </w:rPr>
        <w:t>人</w:t>
      </w:r>
      <w:r>
        <w:rPr>
          <w:spacing w:val="76"/>
          <w:sz w:val="28"/>
          <w:szCs w:val="28"/>
        </w:rPr>
        <w:t xml:space="preserve"> </w:t>
      </w:r>
      <w:r>
        <w:rPr>
          <w:rFonts w:hint="eastAsia"/>
          <w:spacing w:val="76"/>
          <w:sz w:val="28"/>
          <w:szCs w:val="28"/>
          <w:u w:val="single"/>
          <w:lang w:val="en-US" w:eastAsia="zh-CN"/>
        </w:rPr>
        <w:t xml:space="preserve">      邓翠珍</w:t>
      </w:r>
      <w:r>
        <w:rPr>
          <w:sz w:val="28"/>
          <w:szCs w:val="28"/>
          <w:u w:val="single" w:color="auto"/>
        </w:rPr>
        <w:tab/>
      </w:r>
      <w:r>
        <w:rPr>
          <w:sz w:val="28"/>
          <w:szCs w:val="28"/>
        </w:rPr>
        <w:t xml:space="preserve"> </w:t>
      </w:r>
      <w:r>
        <w:rPr>
          <w:spacing w:val="-24"/>
          <w:sz w:val="28"/>
          <w:szCs w:val="28"/>
        </w:rPr>
        <w:t>项</w:t>
      </w:r>
      <w:r>
        <w:rPr>
          <w:spacing w:val="1"/>
          <w:sz w:val="28"/>
          <w:szCs w:val="28"/>
        </w:rPr>
        <w:t xml:space="preserve">  </w:t>
      </w:r>
      <w:r>
        <w:rPr>
          <w:spacing w:val="-24"/>
          <w:sz w:val="28"/>
          <w:szCs w:val="28"/>
        </w:rPr>
        <w:t>目</w:t>
      </w:r>
      <w:r>
        <w:rPr>
          <w:spacing w:val="91"/>
          <w:sz w:val="28"/>
          <w:szCs w:val="28"/>
        </w:rPr>
        <w:t xml:space="preserve"> </w:t>
      </w:r>
      <w:r>
        <w:rPr>
          <w:spacing w:val="-24"/>
          <w:sz w:val="28"/>
          <w:szCs w:val="28"/>
        </w:rPr>
        <w:t>联</w:t>
      </w:r>
      <w:r>
        <w:rPr>
          <w:spacing w:val="105"/>
          <w:sz w:val="28"/>
          <w:szCs w:val="28"/>
        </w:rPr>
        <w:t xml:space="preserve"> </w:t>
      </w:r>
      <w:r>
        <w:rPr>
          <w:spacing w:val="-24"/>
          <w:sz w:val="28"/>
          <w:szCs w:val="28"/>
        </w:rPr>
        <w:t>系</w:t>
      </w:r>
      <w:r>
        <w:rPr>
          <w:spacing w:val="91"/>
          <w:sz w:val="28"/>
          <w:szCs w:val="28"/>
        </w:rPr>
        <w:t xml:space="preserve"> </w:t>
      </w:r>
      <w:r>
        <w:rPr>
          <w:spacing w:val="-24"/>
          <w:sz w:val="28"/>
          <w:szCs w:val="28"/>
        </w:rPr>
        <w:t>人</w:t>
      </w:r>
      <w:r>
        <w:rPr>
          <w:spacing w:val="76"/>
          <w:sz w:val="28"/>
          <w:szCs w:val="28"/>
        </w:rPr>
        <w:t xml:space="preserve"> </w:t>
      </w:r>
      <w:r>
        <w:rPr>
          <w:rFonts w:hint="eastAsia"/>
          <w:spacing w:val="76"/>
          <w:sz w:val="28"/>
          <w:szCs w:val="28"/>
          <w:u w:val="single"/>
          <w:lang w:val="en-US" w:eastAsia="zh-CN"/>
        </w:rPr>
        <w:t xml:space="preserve">      罗益芬</w:t>
      </w:r>
      <w:r>
        <w:rPr>
          <w:sz w:val="28"/>
          <w:szCs w:val="28"/>
          <w:u w:val="single" w:color="auto"/>
        </w:rPr>
        <w:tab/>
      </w:r>
      <w:r>
        <w:rPr>
          <w:sz w:val="28"/>
          <w:szCs w:val="28"/>
        </w:rPr>
        <w:t xml:space="preserve"> </w:t>
      </w:r>
      <w:r>
        <w:rPr>
          <w:spacing w:val="-13"/>
          <w:sz w:val="28"/>
          <w:szCs w:val="28"/>
        </w:rPr>
        <w:t>办   公</w:t>
      </w:r>
      <w:r>
        <w:rPr>
          <w:spacing w:val="6"/>
          <w:sz w:val="28"/>
          <w:szCs w:val="28"/>
        </w:rPr>
        <w:t xml:space="preserve">   </w:t>
      </w:r>
      <w:r>
        <w:rPr>
          <w:spacing w:val="-13"/>
          <w:sz w:val="28"/>
          <w:szCs w:val="28"/>
        </w:rPr>
        <w:t>电   话</w:t>
      </w:r>
      <w:r>
        <w:rPr>
          <w:spacing w:val="77"/>
          <w:sz w:val="28"/>
          <w:szCs w:val="28"/>
        </w:rPr>
        <w:t xml:space="preserve"> </w:t>
      </w:r>
      <w:r>
        <w:rPr>
          <w:rFonts w:hint="eastAsia"/>
          <w:spacing w:val="77"/>
          <w:sz w:val="28"/>
          <w:szCs w:val="28"/>
          <w:u w:val="single"/>
          <w:lang w:val="en-US" w:eastAsia="zh-CN"/>
        </w:rPr>
        <w:t xml:space="preserve">   0731-84912089</w:t>
      </w:r>
      <w:r>
        <w:rPr>
          <w:sz w:val="28"/>
          <w:szCs w:val="28"/>
          <w:u w:val="single" w:color="auto"/>
        </w:rPr>
        <w:tab/>
      </w:r>
    </w:p>
    <w:p>
      <w:pPr>
        <w:pStyle w:val="3"/>
        <w:tabs>
          <w:tab w:val="left" w:pos="7815"/>
        </w:tabs>
        <w:spacing w:before="91" w:line="423" w:lineRule="auto"/>
        <w:ind w:left="1026" w:right="832"/>
        <w:jc w:val="both"/>
        <w:rPr>
          <w:rFonts w:hint="default" w:eastAsia="仿宋"/>
          <w:sz w:val="28"/>
          <w:szCs w:val="28"/>
          <w:u w:val="single"/>
          <w:lang w:val="en-US" w:eastAsia="zh-CN"/>
        </w:rPr>
      </w:pPr>
      <w:r>
        <w:rPr>
          <w:spacing w:val="-9"/>
          <w:sz w:val="28"/>
          <w:szCs w:val="28"/>
        </w:rPr>
        <w:t>手</w:t>
      </w:r>
      <w:r>
        <w:rPr>
          <w:spacing w:val="59"/>
          <w:sz w:val="28"/>
          <w:szCs w:val="28"/>
        </w:rPr>
        <w:t xml:space="preserve">  </w:t>
      </w:r>
      <w:r>
        <w:rPr>
          <w:spacing w:val="-9"/>
          <w:sz w:val="28"/>
          <w:szCs w:val="28"/>
        </w:rPr>
        <w:t>机   号   码</w:t>
      </w:r>
      <w:r>
        <w:rPr>
          <w:rFonts w:hint="eastAsia"/>
          <w:spacing w:val="-9"/>
          <w:sz w:val="28"/>
          <w:szCs w:val="28"/>
          <w:lang w:val="en-US" w:eastAsia="zh-CN"/>
        </w:rPr>
        <w:t xml:space="preserve"> </w:t>
      </w:r>
      <w:r>
        <w:rPr>
          <w:rFonts w:hint="eastAsia"/>
          <w:spacing w:val="-9"/>
          <w:sz w:val="28"/>
          <w:szCs w:val="28"/>
          <w:u w:val="single"/>
          <w:lang w:val="en-US" w:eastAsia="zh-CN"/>
        </w:rPr>
        <w:t xml:space="preserve">         17775880895              </w:t>
      </w:r>
    </w:p>
    <w:p>
      <w:pPr>
        <w:pStyle w:val="3"/>
        <w:spacing w:line="216" w:lineRule="auto"/>
        <w:ind w:left="1056"/>
        <w:rPr>
          <w:sz w:val="28"/>
          <w:szCs w:val="28"/>
          <w:u w:val="single" w:color="auto"/>
        </w:rPr>
      </w:pPr>
      <w:r>
        <w:rPr>
          <w:spacing w:val="-17"/>
          <w:sz w:val="28"/>
          <w:szCs w:val="28"/>
        </w:rPr>
        <w:t>电</w:t>
      </w:r>
      <w:r>
        <w:rPr>
          <w:spacing w:val="63"/>
          <w:sz w:val="28"/>
          <w:szCs w:val="28"/>
        </w:rPr>
        <w:t xml:space="preserve">  </w:t>
      </w:r>
      <w:r>
        <w:rPr>
          <w:spacing w:val="-17"/>
          <w:sz w:val="28"/>
          <w:szCs w:val="28"/>
        </w:rPr>
        <w:t>子</w:t>
      </w:r>
      <w:r>
        <w:rPr>
          <w:spacing w:val="66"/>
          <w:sz w:val="28"/>
          <w:szCs w:val="28"/>
        </w:rPr>
        <w:t xml:space="preserve">  </w:t>
      </w:r>
      <w:r>
        <w:rPr>
          <w:spacing w:val="-17"/>
          <w:sz w:val="28"/>
          <w:szCs w:val="28"/>
        </w:rPr>
        <w:t>邮   箱</w:t>
      </w:r>
      <w:r>
        <w:rPr>
          <w:spacing w:val="76"/>
          <w:sz w:val="28"/>
          <w:szCs w:val="28"/>
        </w:rPr>
        <w:t xml:space="preserve"> </w:t>
      </w:r>
      <w:r>
        <w:rPr>
          <w:sz w:val="28"/>
          <w:szCs w:val="28"/>
          <w:u w:val="single" w:color="auto"/>
        </w:rPr>
        <w:t xml:space="preserve">     </w:t>
      </w:r>
      <w:r>
        <w:rPr>
          <w:rFonts w:hint="eastAsia"/>
          <w:sz w:val="28"/>
          <w:szCs w:val="28"/>
          <w:u w:val="single" w:color="auto"/>
          <w:lang w:val="en-US" w:eastAsia="zh-CN"/>
        </w:rPr>
        <w:t>514957293@qq.com</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pPr>
        <w:pStyle w:val="3"/>
        <w:spacing w:line="216" w:lineRule="auto"/>
        <w:ind w:left="1056"/>
        <w:rPr>
          <w:sz w:val="28"/>
          <w:szCs w:val="28"/>
          <w:u w:val="single" w:color="auto"/>
        </w:rPr>
      </w:pPr>
    </w:p>
    <w:p>
      <w:pPr>
        <w:pStyle w:val="3"/>
        <w:spacing w:line="216" w:lineRule="auto"/>
        <w:ind w:left="1056"/>
        <w:rPr>
          <w:sz w:val="28"/>
          <w:szCs w:val="28"/>
          <w:u w:val="single" w:color="auto"/>
        </w:rPr>
      </w:pPr>
    </w:p>
    <w:p>
      <w:pPr>
        <w:pStyle w:val="3"/>
        <w:spacing w:line="216" w:lineRule="auto"/>
        <w:ind w:left="1056"/>
        <w:rPr>
          <w:rFonts w:hint="eastAsia"/>
          <w:sz w:val="28"/>
          <w:szCs w:val="28"/>
          <w:u w:val="single" w:color="auto"/>
          <w:lang w:val="en-US" w:eastAsia="zh-CN"/>
        </w:rPr>
      </w:pPr>
      <w:r>
        <w:rPr>
          <w:rFonts w:hint="eastAsia"/>
          <w:sz w:val="28"/>
          <w:szCs w:val="28"/>
          <w:u w:val="single" w:color="auto"/>
          <w:lang w:val="en-US" w:eastAsia="zh-CN"/>
        </w:rPr>
        <w:t>网址：</w:t>
      </w:r>
      <w:r>
        <w:rPr>
          <w:rFonts w:hint="eastAsia"/>
          <w:sz w:val="28"/>
          <w:szCs w:val="28"/>
          <w:u w:val="single" w:color="auto"/>
          <w:lang w:val="en-US" w:eastAsia="zh-CN"/>
        </w:rPr>
        <w:fldChar w:fldCharType="begin"/>
      </w:r>
      <w:r>
        <w:rPr>
          <w:rFonts w:hint="eastAsia"/>
          <w:sz w:val="28"/>
          <w:szCs w:val="28"/>
          <w:u w:val="single" w:color="auto"/>
          <w:lang w:val="en-US" w:eastAsia="zh-CN"/>
        </w:rPr>
        <w:instrText xml:space="preserve"> HYPERLINK "http://hnhlxx.net/fzghdetail_1304.html" </w:instrText>
      </w:r>
      <w:r>
        <w:rPr>
          <w:rFonts w:hint="eastAsia"/>
          <w:sz w:val="28"/>
          <w:szCs w:val="28"/>
          <w:u w:val="single" w:color="auto"/>
          <w:lang w:val="en-US" w:eastAsia="zh-CN"/>
        </w:rPr>
        <w:fldChar w:fldCharType="separate"/>
      </w:r>
      <w:r>
        <w:rPr>
          <w:rStyle w:val="7"/>
          <w:rFonts w:hint="eastAsia"/>
          <w:sz w:val="28"/>
          <w:szCs w:val="28"/>
          <w:lang w:val="en-US" w:eastAsia="zh-CN"/>
        </w:rPr>
        <w:t>http://hnhlxx.net/fzghdetail_1304.html</w:t>
      </w:r>
      <w:r>
        <w:rPr>
          <w:rFonts w:hint="eastAsia"/>
          <w:sz w:val="28"/>
          <w:szCs w:val="28"/>
          <w:u w:val="single" w:color="auto"/>
          <w:lang w:val="en-US" w:eastAsia="zh-CN"/>
        </w:rPr>
        <w:fldChar w:fldCharType="end"/>
      </w:r>
    </w:p>
    <w:p>
      <w:pPr>
        <w:pStyle w:val="3"/>
        <w:spacing w:line="216" w:lineRule="auto"/>
        <w:ind w:left="1056"/>
        <w:rPr>
          <w:rFonts w:hint="eastAsia"/>
          <w:sz w:val="28"/>
          <w:szCs w:val="28"/>
          <w:u w:val="single" w:color="auto"/>
          <w:lang w:val="en-US" w:eastAsia="zh-CN"/>
        </w:rPr>
      </w:pPr>
    </w:p>
    <w:p>
      <w:pPr>
        <w:pStyle w:val="3"/>
        <w:spacing w:line="216" w:lineRule="auto"/>
        <w:ind w:left="1056"/>
        <w:rPr>
          <w:rFonts w:hint="eastAsia"/>
          <w:sz w:val="28"/>
          <w:szCs w:val="28"/>
          <w:u w:val="single" w:color="auto"/>
          <w:lang w:val="en-US" w:eastAsia="zh-CN"/>
        </w:rPr>
        <w:sectPr>
          <w:headerReference r:id="rId5" w:type="default"/>
          <w:footerReference r:id="rId6" w:type="default"/>
          <w:pgSz w:w="11906" w:h="16839"/>
          <w:pgMar w:top="1431" w:right="1663" w:bottom="1333" w:left="1593" w:header="0" w:footer="1095" w:gutter="0"/>
          <w:cols w:space="720" w:num="1"/>
        </w:sectPr>
      </w:pPr>
    </w:p>
    <w:p>
      <w:pPr>
        <w:numPr>
          <w:ilvl w:val="0"/>
          <w:numId w:val="0"/>
        </w:numPr>
        <w:spacing w:line="360" w:lineRule="auto"/>
        <w:ind w:firstLine="562" w:firstLineChars="20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一、概况</w:t>
      </w:r>
    </w:p>
    <w:p>
      <w:pPr>
        <w:pStyle w:val="2"/>
        <w:numPr>
          <w:ilvl w:val="0"/>
          <w:numId w:val="0"/>
        </w:numPr>
        <w:spacing w:line="360" w:lineRule="auto"/>
        <w:ind w:firstLine="56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方案在《2022年长沙职业教育“楚怡”高水平专业群》项目中提出的“专业群建设方案”的基础上，由学校专家讨论分许后填写。任务书着重描述项目作为市级高水平专业群，今后三年在改革教学内容和方法、开发教学资源、促进教学研讨和经验交流、推进教学工作的传-帮-带和老中青相结合，提高中青年教师的教学水平，对高水平团队任务开展制定实施计划，不包括立项前自行建设的已有结果。</w:t>
      </w:r>
    </w:p>
    <w:p>
      <w:pPr>
        <w:pStyle w:val="2"/>
        <w:numPr>
          <w:ilvl w:val="0"/>
          <w:numId w:val="0"/>
        </w:numPr>
        <w:spacing w:line="360" w:lineRule="auto"/>
        <w:ind w:firstLine="560"/>
        <w:rPr>
          <w:rFonts w:hint="default"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二、实施方案</w:t>
      </w:r>
    </w:p>
    <w:p>
      <w:pPr>
        <w:pStyle w:val="2"/>
        <w:numPr>
          <w:ilvl w:val="0"/>
          <w:numId w:val="0"/>
        </w:numPr>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（一）建设基础</w:t>
      </w:r>
    </w:p>
    <w:p>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 xml:space="preserve">成立了校企专家联合组成的专业建设指导委员会  </w:t>
      </w:r>
    </w:p>
    <w:p>
      <w:pPr>
        <w:spacing w:line="360" w:lineRule="auto"/>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本专业群成立了由校内专家与湖南中医药大学、中南大学护理学院等校外专家及湖南省人民医院等临床护理专家组成的专业建设指导委员会，共同制订人才培养方案，提出课程设置、教学内容和教学方法的改革意见</w:t>
      </w:r>
      <w:r>
        <w:rPr>
          <w:rFonts w:hint="eastAsia" w:ascii="方正仿宋_GB2312" w:hAnsi="方正仿宋_GB2312" w:eastAsia="方正仿宋_GB2312" w:cs="方正仿宋_GB2312"/>
          <w:sz w:val="28"/>
          <w:szCs w:val="28"/>
          <w:lang w:eastAsia="zh-CN"/>
        </w:rPr>
        <w:t>。</w:t>
      </w:r>
    </w:p>
    <w:p>
      <w:pPr>
        <w:numPr>
          <w:ilvl w:val="0"/>
          <w:numId w:val="1"/>
        </w:num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试行分段式教学，“双主体”育人模式  </w:t>
      </w:r>
    </w:p>
    <w:p>
      <w:pPr>
        <w:numPr>
          <w:numId w:val="0"/>
        </w:num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校与湖南省人民医院、长沙市中心医院、长沙市第三人民医院等53家医院签订校企合作协议；二年级学生由学校与医院共同制定教学计划，共同管理，由医院组织落实相关专业课程的教学任务。通过医校协同、合作办学，增强了学生岗位适应能力与就业能力。</w:t>
      </w:r>
    </w:p>
    <w:p>
      <w:pPr>
        <w:numPr>
          <w:ilvl w:val="0"/>
          <w:numId w:val="1"/>
        </w:numPr>
        <w:spacing w:line="360" w:lineRule="auto"/>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注重“工学结合”实现“无缝对接”  </w:t>
      </w:r>
    </w:p>
    <w:p>
      <w:pPr>
        <w:numPr>
          <w:numId w:val="0"/>
        </w:num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校建有1所附属医院和53家稳定的校外实训实习医院，为学生见习、实训及实习提供了可靠的保证。三年级学生采用校企合作、跟岗实习，做到实践教学与医院专业岗位密切结合，实习岗位与所学专业面向的岗位群完全一致。形成了毕业即可就业的良好教育模式，毕业生受到用人单位的广泛好评。</w:t>
      </w:r>
    </w:p>
    <w:p>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课程体系和课堂教学改革有序推进</w:t>
      </w:r>
    </w:p>
    <w:p>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护理专业岗位工作流程，按照工作任务驱动，重新构建了模块化课程体系。参照护士执业资格考试标准，以培养学生的职业能力为核心调整教学内容，注重专业意识、态度的养成与任职能力、技术能力的提高。按照学生职业岗位指向，依据各课程的特点和课程目标，以课程模块为单位实施教学，实现“教、学、做”合一。此外，还采用了现场教学、案例分析、项目教学、角色扮演、讨论式教学、探究式教学等方法，收到了明显成效。</w:t>
      </w:r>
    </w:p>
    <w:p>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 xml:space="preserve">适应行业需求开办男护班 </w:t>
      </w:r>
    </w:p>
    <w:p>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针对医院临床护理男女性别比例失衡严重，男护士匮乏的现状，率先开办男护班，开创男护教育人才培养新途径，省内多家媒体争相报道。通过调研，学校为男护班制定了专门的人才培养方案和课程计划，并加强男护士在体能、逻辑、思维、信息化技术等方面的培养，并根据社会热点，结合时下医院需求，打造具有特色亮点的男护培养方案。</w:t>
      </w:r>
    </w:p>
    <w:p>
      <w:pPr>
        <w:pStyle w:val="2"/>
        <w:numPr>
          <w:ilvl w:val="0"/>
          <w:numId w:val="0"/>
        </w:numPr>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（二）建设目标</w:t>
      </w:r>
    </w:p>
    <w:p>
      <w:pPr>
        <w:pStyle w:val="2"/>
        <w:spacing w:line="360" w:lineRule="auto"/>
        <w:ind w:firstLine="510"/>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pPr>
      <w:r>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t>深化产教融合、校企合作，改革人才培养模式，促进护理专业教育教学进一步对接医护护理行业；深化课程体系改革，师资队伍建设、教学资源建设，实习实训条件建设，提高护理专业人才培养质量，达成高素质护理技能人才培养目标；拓宽社会服务范围，提升护理专业为地方经济和社会发展服务能力。通过</w:t>
      </w:r>
      <w:r>
        <w:rPr>
          <w:rFonts w:hint="eastAsia" w:ascii="方正仿宋_GB2312" w:hAnsi="方正仿宋_GB2312" w:eastAsia="方正仿宋_GB2312" w:cs="方正仿宋_GB2312"/>
          <w:color w:val="000000" w:themeColor="text1"/>
          <w:spacing w:val="15"/>
          <w:sz w:val="28"/>
          <w:szCs w:val="28"/>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t>年的发展建设，护理专业</w:t>
      </w:r>
      <w:r>
        <w:rPr>
          <w:rFonts w:hint="eastAsia" w:ascii="方正仿宋_GB2312" w:hAnsi="方正仿宋_GB2312" w:eastAsia="方正仿宋_GB2312" w:cs="方正仿宋_GB2312"/>
          <w:color w:val="000000" w:themeColor="text1"/>
          <w:spacing w:val="15"/>
          <w:sz w:val="28"/>
          <w:szCs w:val="28"/>
          <w:lang w:val="en-US" w:eastAsia="zh-CN"/>
          <w14:textFill>
            <w14:solidFill>
              <w14:schemeClr w14:val="tx1"/>
            </w14:solidFill>
          </w14:textFill>
        </w:rPr>
        <w:t>群</w:t>
      </w:r>
      <w:r>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t>在校生规模稳定在</w:t>
      </w:r>
      <w:r>
        <w:rPr>
          <w:rFonts w:hint="eastAsia" w:ascii="方正仿宋_GB2312" w:hAnsi="方正仿宋_GB2312" w:eastAsia="方正仿宋_GB2312" w:cs="方正仿宋_GB2312"/>
          <w:color w:val="auto"/>
          <w:spacing w:val="15"/>
          <w:sz w:val="28"/>
          <w:szCs w:val="28"/>
          <w:lang w:val="en-US" w:eastAsia="zh-CN"/>
        </w:rPr>
        <w:t>30</w:t>
      </w:r>
      <w:r>
        <w:rPr>
          <w:rFonts w:hint="eastAsia" w:ascii="方正仿宋_GB2312" w:hAnsi="方正仿宋_GB2312" w:eastAsia="方正仿宋_GB2312" w:cs="方正仿宋_GB2312"/>
          <w:color w:val="auto"/>
          <w:spacing w:val="15"/>
          <w:sz w:val="28"/>
          <w:szCs w:val="28"/>
        </w:rPr>
        <w:t>00人</w:t>
      </w:r>
      <w:r>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t>左右。把护理专业</w:t>
      </w:r>
      <w:r>
        <w:rPr>
          <w:rFonts w:hint="eastAsia" w:ascii="方正仿宋_GB2312" w:hAnsi="方正仿宋_GB2312" w:eastAsia="方正仿宋_GB2312" w:cs="方正仿宋_GB2312"/>
          <w:color w:val="000000" w:themeColor="text1"/>
          <w:spacing w:val="15"/>
          <w:sz w:val="28"/>
          <w:szCs w:val="28"/>
          <w:lang w:val="en-US" w:eastAsia="zh-CN"/>
          <w14:textFill>
            <w14:solidFill>
              <w14:schemeClr w14:val="tx1"/>
            </w14:solidFill>
          </w14:textFill>
        </w:rPr>
        <w:t>群</w:t>
      </w:r>
      <w:r>
        <w:rPr>
          <w:rFonts w:hint="eastAsia" w:ascii="方正仿宋_GB2312" w:hAnsi="方正仿宋_GB2312" w:eastAsia="方正仿宋_GB2312" w:cs="方正仿宋_GB2312"/>
          <w:color w:val="000000" w:themeColor="text1"/>
          <w:spacing w:val="15"/>
          <w:sz w:val="28"/>
          <w:szCs w:val="28"/>
          <w14:textFill>
            <w14:solidFill>
              <w14:schemeClr w14:val="tx1"/>
            </w14:solidFill>
          </w14:textFill>
        </w:rPr>
        <w:t>建设成为技术服务能力强、医校结合紧密，能引领和带动全省医卫类中职专业建设和发展的优质专业，成为湖南省民办中职学校护理专业建设的优质样板。</w:t>
      </w:r>
    </w:p>
    <w:p>
      <w:pPr>
        <w:pStyle w:val="2"/>
        <w:numPr>
          <w:ilvl w:val="0"/>
          <w:numId w:val="0"/>
        </w:numPr>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w:t>
      </w:r>
      <w:r>
        <w:rPr>
          <w:rFonts w:hint="default" w:ascii="方正仿宋_GB2312" w:hAnsi="方正仿宋_GB2312" w:eastAsia="方正仿宋_GB2312" w:cs="方正仿宋_GB2312"/>
          <w:sz w:val="28"/>
          <w:szCs w:val="28"/>
          <w:lang w:val="en-US" w:eastAsia="zh-CN"/>
        </w:rPr>
        <w:t>具体</w:t>
      </w:r>
      <w:r>
        <w:rPr>
          <w:rFonts w:hint="eastAsia" w:ascii="方正仿宋_GB2312" w:hAnsi="方正仿宋_GB2312" w:eastAsia="方正仿宋_GB2312" w:cs="方正仿宋_GB2312"/>
          <w:sz w:val="28"/>
          <w:szCs w:val="28"/>
          <w:lang w:val="en-US" w:eastAsia="zh-CN"/>
        </w:rPr>
        <w:t>实施方案</w:t>
      </w:r>
    </w:p>
    <w:p>
      <w:pPr>
        <w:pStyle w:val="2"/>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第一阶段：2023-2024年</w:t>
      </w:r>
    </w:p>
    <w:p>
      <w:pPr>
        <w:pStyle w:val="2"/>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专任专业教师队伍规模总量达到125人左右，具有副高级以上专业技术职务的教师占专任教师的比例达到40%，具有硕士以上学位的教师占专任教师的比例达到45%以上，力争引进具有博士学位教师不少于3名，双师型教师比例占总数的比例达70%左右。并积极</w:t>
      </w:r>
      <w:r>
        <w:rPr>
          <w:rFonts w:hint="eastAsia" w:ascii="方正仿宋_GB2312" w:hAnsi="方正仿宋_GB2312" w:eastAsia="方正仿宋_GB2312" w:cs="方正仿宋_GB2312"/>
          <w:sz w:val="28"/>
          <w:szCs w:val="28"/>
          <w:lang w:val="en-US" w:eastAsia="zh-CN"/>
        </w:rPr>
        <w:t>组织专业群教师开展教学能力竞赛，</w:t>
      </w:r>
      <w:r>
        <w:rPr>
          <w:rFonts w:hint="eastAsia" w:ascii="方正仿宋_GB2312" w:hAnsi="方正仿宋_GB2312" w:eastAsia="方正仿宋_GB2312" w:cs="方正仿宋_GB2312"/>
          <w:sz w:val="28"/>
          <w:szCs w:val="28"/>
        </w:rPr>
        <w:t>力争获</w:t>
      </w:r>
      <w:r>
        <w:rPr>
          <w:rFonts w:hint="eastAsia" w:ascii="方正仿宋_GB2312" w:hAnsi="方正仿宋_GB2312" w:eastAsia="方正仿宋_GB2312" w:cs="方正仿宋_GB2312"/>
          <w:sz w:val="28"/>
          <w:szCs w:val="28"/>
          <w:lang w:val="en-US" w:eastAsia="zh-CN"/>
        </w:rPr>
        <w:t>市</w:t>
      </w:r>
      <w:r>
        <w:rPr>
          <w:rFonts w:hint="eastAsia" w:ascii="方正仿宋_GB2312" w:hAnsi="方正仿宋_GB2312" w:eastAsia="方正仿宋_GB2312" w:cs="方正仿宋_GB2312"/>
          <w:sz w:val="28"/>
          <w:szCs w:val="28"/>
        </w:rPr>
        <w:t>级教师教学能力比赛三等奖及以上2项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省级</w:t>
      </w:r>
      <w:r>
        <w:rPr>
          <w:rFonts w:hint="eastAsia" w:ascii="方正仿宋_GB2312" w:hAnsi="方正仿宋_GB2312" w:eastAsia="方正仿宋_GB2312" w:cs="方正仿宋_GB2312"/>
          <w:sz w:val="28"/>
          <w:szCs w:val="28"/>
        </w:rPr>
        <w:t>教师教学能力比赛</w:t>
      </w:r>
      <w:r>
        <w:rPr>
          <w:rFonts w:hint="eastAsia" w:ascii="方正仿宋_GB2312" w:hAnsi="方正仿宋_GB2312" w:eastAsia="方正仿宋_GB2312" w:cs="方正仿宋_GB2312"/>
          <w:sz w:val="28"/>
          <w:szCs w:val="28"/>
          <w:lang w:val="en-US" w:eastAsia="zh-CN"/>
        </w:rPr>
        <w:t>实现突破。2023年、2024年参加全省中职护理技能竟赛争获一等奖1项、二等奖2项和三等奖3项；参加长沙市黄炎培创新创业规划大赛力争获市级一等奖、省级二等奖。</w:t>
      </w:r>
    </w:p>
    <w:p>
      <w:pPr>
        <w:pStyle w:val="2"/>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第二阶段：2024-2025年</w:t>
      </w:r>
      <w:bookmarkStart w:id="0" w:name="_GoBack"/>
      <w:bookmarkEnd w:id="0"/>
    </w:p>
    <w:p>
      <w:pPr>
        <w:pStyle w:val="2"/>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任专业教师队伍规模总量达到140人。具有副高级以上专业技术职务的教师占专任教师的比例达到45%，具有硕士以上学位的教师占专任教师的比例达到50%以上，引进具有博士学位教师不少于5名，专职与兼职教师比例至少达到1：1的教学团队，建成省级专业教学团队1个。50%以上专业核心课程采用校企合作开发的新型活页式、工作手册式教材，实现课堂革命，力争获省级教师教学能力比赛三等奖及以上2项。建成共享核心课程4门，力争申报精品在线开放课程1门、VR课程2门。</w:t>
      </w:r>
    </w:p>
    <w:p>
      <w:pPr>
        <w:pStyle w:val="2"/>
        <w:spacing w:line="360" w:lineRule="auto"/>
        <w:rPr>
          <w:rFonts w:hint="default" w:ascii="方正仿宋_GB2312" w:hAnsi="方正仿宋_GB2312" w:eastAsia="方正仿宋_GB2312" w:cs="方正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C44220FA-A784-45A6-84CB-2D429DD41CD3}"/>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1D56E"/>
    <w:multiLevelType w:val="singleLevel"/>
    <w:tmpl w:val="EFF1D56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OTFlN2NlZGYzZjExMjhkODYzNzlmODA3OTI0ODIifQ=="/>
  </w:docVars>
  <w:rsids>
    <w:rsidRoot w:val="00000000"/>
    <w:rsid w:val="6791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论文正文"/>
    <w:basedOn w:val="1"/>
    <w:qFormat/>
    <w:uiPriority w:val="0"/>
    <w:pPr>
      <w:ind w:firstLine="20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2023-09-11T01:22:31Z</dcterms:created>
  <dc:creator>luoyifen</dc:creator>
  <cp:lastModifiedBy>罗芬</cp:lastModifiedBy>
  <dcterms:modified xsi:type="dcterms:W3CDTF">2023-09-11T01:33:57Z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9B44216F40C546A9A20A6DB55D5395B7_12</vt:lpwstr>
  </property>
</Properties>
</file>