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5" w:line="222" w:lineRule="auto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2022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年长沙职业教育“楚怡”重点建设项目</w:t>
      </w:r>
    </w:p>
    <w:p>
      <w:pPr>
        <w:spacing w:line="243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建设任务书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项</w:t>
      </w:r>
      <w:r>
        <w:rPr>
          <w:spacing w:val="9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目   名</w:t>
      </w:r>
      <w:r>
        <w:rPr>
          <w:spacing w:val="6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称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77"/>
          <w:sz w:val="28"/>
          <w:szCs w:val="28"/>
          <w:u w:val="single" w:color="auto"/>
          <w:lang w:val="en-US" w:eastAsia="zh-CN"/>
        </w:rPr>
        <w:t xml:space="preserve">楚怡高水平教师团队  </w:t>
      </w:r>
      <w:r>
        <w:rPr>
          <w:sz w:val="28"/>
          <w:szCs w:val="28"/>
        </w:rPr>
        <w:t xml:space="preserve"> </w:t>
      </w: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sz w:val="28"/>
          <w:szCs w:val="28"/>
          <w:u w:val="single" w:color="auto"/>
        </w:rPr>
      </w:pPr>
      <w:r>
        <w:rPr>
          <w:spacing w:val="-10"/>
          <w:sz w:val="28"/>
          <w:szCs w:val="28"/>
        </w:rPr>
        <w:t>立</w:t>
      </w:r>
      <w:r>
        <w:rPr>
          <w:spacing w:val="6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项   年</w:t>
      </w:r>
      <w:r>
        <w:rPr>
          <w:spacing w:val="5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度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     2022年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项目学校（盖章）</w:t>
      </w:r>
      <w:r>
        <w:rPr>
          <w:spacing w:val="81"/>
          <w:sz w:val="28"/>
          <w:szCs w:val="28"/>
        </w:rPr>
        <w:t xml:space="preserve"> </w:t>
      </w:r>
      <w:r>
        <w:rPr>
          <w:rFonts w:hint="eastAsia"/>
          <w:spacing w:val="81"/>
          <w:sz w:val="28"/>
          <w:szCs w:val="28"/>
          <w:u w:val="single"/>
          <w:lang w:val="en-US" w:eastAsia="zh-CN"/>
        </w:rPr>
        <w:t xml:space="preserve">    湖南护理学校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项</w:t>
      </w:r>
      <w:r>
        <w:rPr>
          <w:spacing w:val="1"/>
          <w:sz w:val="28"/>
          <w:szCs w:val="28"/>
        </w:rPr>
        <w:t xml:space="preserve">  </w:t>
      </w:r>
      <w:r>
        <w:rPr>
          <w:spacing w:val="-26"/>
          <w:sz w:val="28"/>
          <w:szCs w:val="28"/>
        </w:rPr>
        <w:t>目</w:t>
      </w:r>
      <w:r>
        <w:rPr>
          <w:spacing w:val="105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负</w:t>
      </w:r>
      <w:r>
        <w:rPr>
          <w:spacing w:val="101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责</w:t>
      </w:r>
      <w:r>
        <w:rPr>
          <w:spacing w:val="91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人</w:t>
      </w:r>
      <w:r>
        <w:rPr>
          <w:spacing w:val="76"/>
          <w:sz w:val="28"/>
          <w:szCs w:val="28"/>
        </w:rPr>
        <w:t xml:space="preserve"> </w:t>
      </w:r>
      <w:r>
        <w:rPr>
          <w:rFonts w:hint="eastAsia"/>
          <w:spacing w:val="76"/>
          <w:sz w:val="28"/>
          <w:szCs w:val="28"/>
          <w:u w:val="single"/>
          <w:lang w:val="en-US" w:eastAsia="zh-CN"/>
        </w:rPr>
        <w:t xml:space="preserve">      邓翠珍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项</w:t>
      </w:r>
      <w:r>
        <w:rPr>
          <w:spacing w:val="1"/>
          <w:sz w:val="28"/>
          <w:szCs w:val="28"/>
        </w:rPr>
        <w:t xml:space="preserve">  </w:t>
      </w:r>
      <w:r>
        <w:rPr>
          <w:spacing w:val="-24"/>
          <w:sz w:val="28"/>
          <w:szCs w:val="28"/>
        </w:rPr>
        <w:t>目</w:t>
      </w:r>
      <w:r>
        <w:rPr>
          <w:spacing w:val="91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联</w:t>
      </w:r>
      <w:r>
        <w:rPr>
          <w:spacing w:val="105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系</w:t>
      </w:r>
      <w:r>
        <w:rPr>
          <w:spacing w:val="91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人</w:t>
      </w:r>
      <w:r>
        <w:rPr>
          <w:spacing w:val="76"/>
          <w:sz w:val="28"/>
          <w:szCs w:val="28"/>
        </w:rPr>
        <w:t xml:space="preserve"> </w:t>
      </w:r>
      <w:r>
        <w:rPr>
          <w:rFonts w:hint="eastAsia"/>
          <w:spacing w:val="76"/>
          <w:sz w:val="28"/>
          <w:szCs w:val="28"/>
          <w:u w:val="single"/>
          <w:lang w:val="en-US" w:eastAsia="zh-CN"/>
        </w:rPr>
        <w:t xml:space="preserve">      罗益芬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办   公</w:t>
      </w:r>
      <w:r>
        <w:rPr>
          <w:spacing w:val="6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电   话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  0731-84912089</w:t>
      </w:r>
      <w:r>
        <w:rPr>
          <w:sz w:val="28"/>
          <w:szCs w:val="28"/>
          <w:u w:val="single" w:color="auto"/>
        </w:rPr>
        <w:tab/>
      </w: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spacing w:val="-9"/>
          <w:sz w:val="28"/>
          <w:szCs w:val="28"/>
        </w:rPr>
        <w:t>手</w:t>
      </w:r>
      <w:r>
        <w:rPr>
          <w:spacing w:val="59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机   号   码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9"/>
          <w:sz w:val="28"/>
          <w:szCs w:val="28"/>
          <w:u w:val="single"/>
          <w:lang w:val="en-US" w:eastAsia="zh-CN"/>
        </w:rPr>
        <w:t xml:space="preserve">         17775880895              </w:t>
      </w: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  <w:r>
        <w:rPr>
          <w:spacing w:val="-17"/>
          <w:sz w:val="28"/>
          <w:szCs w:val="28"/>
        </w:rPr>
        <w:t>电</w:t>
      </w:r>
      <w:r>
        <w:rPr>
          <w:spacing w:val="63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子</w:t>
      </w:r>
      <w:r>
        <w:rPr>
          <w:spacing w:val="66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邮   箱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</w:t>
      </w:r>
      <w:r>
        <w:rPr>
          <w:rFonts w:hint="eastAsia"/>
          <w:sz w:val="28"/>
          <w:szCs w:val="28"/>
          <w:u w:val="single" w:color="auto"/>
          <w:lang w:val="en-US" w:eastAsia="zh-CN"/>
        </w:rPr>
        <w:t>514957293@qq.com</w:t>
      </w:r>
      <w:r>
        <w:rPr>
          <w:sz w:val="28"/>
          <w:szCs w:val="28"/>
          <w:u w:val="single" w:color="auto"/>
        </w:rPr>
        <w:t xml:space="preserve">        </w:t>
      </w:r>
      <w:r>
        <w:rPr>
          <w:rFonts w:hint="eastAsia"/>
          <w:sz w:val="28"/>
          <w:szCs w:val="28"/>
          <w:u w:val="single" w:color="auto"/>
          <w:lang w:val="en-US" w:eastAsia="zh-CN"/>
        </w:rPr>
        <w:t xml:space="preserve"> </w:t>
      </w:r>
      <w:r>
        <w:rPr>
          <w:sz w:val="28"/>
          <w:szCs w:val="28"/>
          <w:u w:val="single" w:color="auto"/>
        </w:rPr>
        <w:t xml:space="preserve"> </w:t>
      </w: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</w:pPr>
      <w:r>
        <w:rPr>
          <w:rFonts w:hint="eastAsia"/>
          <w:sz w:val="28"/>
          <w:szCs w:val="28"/>
          <w:u w:val="single" w:color="auto"/>
          <w:lang w:val="en-US" w:eastAsia="zh-CN"/>
        </w:rPr>
        <w:t>网址：</w: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begin"/>
      </w:r>
      <w:r>
        <w:rPr>
          <w:rFonts w:hint="eastAsia"/>
          <w:sz w:val="28"/>
          <w:szCs w:val="28"/>
          <w:u w:val="single" w:color="auto"/>
          <w:lang w:val="en-US" w:eastAsia="zh-CN"/>
        </w:rPr>
        <w:instrText xml:space="preserve"> HYPERLINK "http://hnhlxx.net/fzghdetail_1304.html" </w:instrTex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separate"/>
      </w:r>
      <w:r>
        <w:rPr>
          <w:rStyle w:val="7"/>
          <w:rFonts w:hint="eastAsia"/>
          <w:sz w:val="28"/>
          <w:szCs w:val="28"/>
          <w:lang w:val="en-US" w:eastAsia="zh-CN"/>
        </w:rPr>
        <w:t>http://hnhlxx.net/fzghdetail_1304.html</w: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end"/>
      </w: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</w:pP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1431" w:right="1663" w:bottom="1333" w:left="1593" w:header="0" w:footer="1095" w:gutter="0"/>
          <w:cols w:space="720" w:num="1"/>
        </w:sectPr>
      </w:pPr>
    </w:p>
    <w:p>
      <w:pPr>
        <w:numPr>
          <w:numId w:val="0"/>
        </w:numPr>
        <w:spacing w:line="360" w:lineRule="auto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一、任务概况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任务书在《2022年长沙职业教育“楚怡”高水平教师团队》项目中提出的“团队建设目标和任务”的基础上，由学校专家讨论分许后填写。任务书着重描述项目作为市级高水平教师团队，今后三年在改革教学内容和方法、开发教学资源、促进教学研讨和经验交流、推进教学工作的传-帮-带和老中青相结合，提高中青年教师的教学水平，对高水平团队在组织构架、建设方向等方面将要开展的工作进行探索，本任务书不包括立项前自行建设的已有结果。</w:t>
      </w:r>
    </w:p>
    <w:p>
      <w:pPr>
        <w:pStyle w:val="2"/>
        <w:numPr>
          <w:numId w:val="0"/>
        </w:numPr>
        <w:spacing w:line="360" w:lineRule="auto"/>
        <w:ind w:firstLine="562" w:firstLineChars="200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二、主要建设任务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1.制定团队建设实施方案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2.加强师德师风建设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（1）健全师德师风建设长效机制。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（2）加强教师依法从教意识教育。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（3）强化师德师风考核评价机制。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3.提升团队教师能力素质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（1）加强教师培训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①教师全员培训；②学历提升培训；③高校教师资格培训；④新教师培训；⑤专业负责人培训；⑥技能大赛指导教师培训 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（2）加强专业能力建设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①加强教学能力建设；②加强教科研能力建设；③加强“双师型”教师培养。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4.全面深化课程改革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（1）建立优质课程建设工作机制 对接经济社会发展和科技进步需求，树立需求导向、能力递进、全面发展的职业教育课程观。根据学校及专业人才培养规格，构建课程体系、课程标准，确保人才培养方案、课程体系、课程及技能考核标准与培养目标相匹配。注重中高本学段纵向衔接，构建能力递进课程体系；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2）开发理实一体化、模块化等课程；按照职业岗位能力要求，强化课程思政，促进专业知识教育与思想政治教育紧密结合。将行业技术标准、职业技能等级标准、企业典型案例融入教学内容，促进职业技能等级证书与学历证书相互融通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（3）积极开发校本  开发专业教学资源，编写形式多样的新型活页式、工作手册式和智慧功能式校本教材。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（4）实行课程负责制  每门课程都安排课程负责人。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5.积极推进教法改革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（1）打破教学传统模式，广泛开展项目教学、案例教学、场景教学、模拟教学等教法。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（2）改革教学组织形式， 采用俱乐部制、会员制、兴趣小组等组织形式。建设智慧教室、智慧课堂、智慧车间、仿真实训基地、智慧图书馆等。探索和创新混合式教学模式，推动信息化教学资源共建共享，实现学校教学、科研、管理、服务与文化建设的网络化、信息化、数字化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6.强化技术技能创新服务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开展多元化培训工作；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完善激励机制，开展“青蓝工程”以老带新促进教师成长；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培养教师的教育科研创新能力，以教学工作者存在的问题为突破口，开展校本教材开发、课题研究及论文撰写工作，鼓励教师撰写教学随笔及小作文，创新研究思路。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7.突出专业育人成效</w:t>
      </w:r>
    </w:p>
    <w:p>
      <w:pPr>
        <w:pStyle w:val="2"/>
        <w:numPr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通过护理专业教学团队建设，达到培养模式先进、课程体系科学，产教深度融合，校企协同育人，创新能力凸显、服务贡献突出的目的。广泛开展各类竞赛活动，提升人才培养质量，使毕业生就业质量稳步提高，建设水平达到省内</w:t>
      </w: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领先、国内有影响。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7B5F56D-3A86-49F5-AD3D-C3AB783663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FlN2NlZGYzZjExMjhkODYzNzlmODA3OTI0ODIifQ=="/>
  </w:docVars>
  <w:rsids>
    <w:rsidRoot w:val="00000000"/>
    <w:rsid w:val="669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论文正文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2023-09-11T00:45:24Z</dcterms:created>
  <dc:creator>luoyifen</dc:creator>
  <cp:lastModifiedBy>罗芬</cp:lastModifiedBy>
  <dcterms:modified xsi:type="dcterms:W3CDTF">2023-09-11T01:06:50Z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4AE36C60D7D4469FB6D47075255CB1AD_12</vt:lpwstr>
  </property>
</Properties>
</file>